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907B" w14:textId="77777777" w:rsidR="00BA6C83" w:rsidRDefault="00000000">
      <w:pPr>
        <w:pStyle w:val="Kop1"/>
        <w:rPr>
          <w:lang w:val="nl-NL"/>
        </w:rPr>
      </w:pPr>
      <w:r w:rsidRPr="00012C55">
        <w:rPr>
          <w:lang w:val="nl-NL"/>
        </w:rPr>
        <w:t>Algemene Voorwaarden A.M. Lekdetectie B.V.</w:t>
      </w:r>
    </w:p>
    <w:p w14:paraId="4AA989BC" w14:textId="77777777" w:rsidR="00012C55" w:rsidRPr="00012C55" w:rsidRDefault="00012C55" w:rsidP="00012C55">
      <w:pPr>
        <w:rPr>
          <w:lang w:val="nl-NL"/>
        </w:rPr>
      </w:pPr>
    </w:p>
    <w:p w14:paraId="77A77AA0" w14:textId="77777777" w:rsidR="00BA6C83" w:rsidRPr="00012C55" w:rsidRDefault="00000000">
      <w:pPr>
        <w:rPr>
          <w:lang w:val="nl-NL"/>
        </w:rPr>
      </w:pPr>
      <w:r w:rsidRPr="00012C55">
        <w:rPr>
          <w:b/>
          <w:bCs/>
          <w:lang w:val="nl-NL"/>
        </w:rPr>
        <w:t>Artikel 1 – Algemeen</w:t>
      </w:r>
      <w:r w:rsidRPr="00012C55">
        <w:rPr>
          <w:lang w:val="nl-NL"/>
        </w:rPr>
        <w:br/>
        <w:t>Deze algemene voorwaarden zijn van toepassing op alle aanbiedingen, offertes, overeenkomsten en werkzaamheden van A.M. Lekdetectie B.V. Afwijkingen zijn uitsluitend geldig indien schriftelijk overeengekomen. Algemene voorwaarden van de opdrachtgever worden uitgesloten. Deze voorwaarden worden vóór of bij het sluiten van de overeenkomst kosteloos ter beschikking gesteld.</w:t>
      </w:r>
    </w:p>
    <w:p w14:paraId="6F1831F3" w14:textId="77777777" w:rsidR="00BA6C83" w:rsidRPr="00012C55" w:rsidRDefault="00000000">
      <w:pPr>
        <w:rPr>
          <w:lang w:val="nl-NL"/>
        </w:rPr>
      </w:pPr>
      <w:r w:rsidRPr="00012C55">
        <w:rPr>
          <w:b/>
          <w:bCs/>
          <w:lang w:val="nl-NL"/>
        </w:rPr>
        <w:t>Artikel 2 – Offertes en overeenkomsten</w:t>
      </w:r>
      <w:r w:rsidRPr="00012C55">
        <w:rPr>
          <w:lang w:val="nl-NL"/>
        </w:rPr>
        <w:br/>
        <w:t>Alle offertes zijn vrijblijvend. Een overeenkomst komt tot stand na schriftelijke bevestiging door A.M. Lekdetectie B.V. Wijzigingen zijn alleen geldig indien schriftelijk overeengekomen.</w:t>
      </w:r>
    </w:p>
    <w:p w14:paraId="0E4131CA" w14:textId="77777777" w:rsidR="00BA6C83" w:rsidRPr="00012C55" w:rsidRDefault="00000000">
      <w:pPr>
        <w:rPr>
          <w:lang w:val="nl-NL"/>
        </w:rPr>
      </w:pPr>
      <w:r w:rsidRPr="00012C55">
        <w:rPr>
          <w:b/>
          <w:bCs/>
          <w:lang w:val="nl-NL"/>
        </w:rPr>
        <w:t>Artikel 3 – Prijzen</w:t>
      </w:r>
      <w:r w:rsidRPr="00012C55">
        <w:rPr>
          <w:lang w:val="nl-NL"/>
        </w:rPr>
        <w:br/>
        <w:t>Alle prijzen zijn exclusief btw. Prijsverhogingen na overeenkomst geven de opdrachtgever het recht tot ontbinding, tenzij wettelijk verplicht.</w:t>
      </w:r>
    </w:p>
    <w:p w14:paraId="761FC542" w14:textId="77777777" w:rsidR="00BA6C83" w:rsidRPr="00012C55" w:rsidRDefault="00000000">
      <w:pPr>
        <w:rPr>
          <w:lang w:val="nl-NL"/>
        </w:rPr>
      </w:pPr>
      <w:r w:rsidRPr="00012C55">
        <w:rPr>
          <w:b/>
          <w:bCs/>
          <w:lang w:val="nl-NL"/>
        </w:rPr>
        <w:t>Artikel 4 – Verplichtingen opdrachtgever</w:t>
      </w:r>
      <w:r w:rsidRPr="00012C55">
        <w:rPr>
          <w:lang w:val="nl-NL"/>
        </w:rPr>
        <w:br/>
        <w:t>De opdrachtgever verstrekt alle noodzakelijke informatie tijdig en volledig.</w:t>
      </w:r>
    </w:p>
    <w:p w14:paraId="3BDF5BA1" w14:textId="77777777" w:rsidR="00BA6C83" w:rsidRPr="00012C55" w:rsidRDefault="00000000">
      <w:pPr>
        <w:rPr>
          <w:lang w:val="nl-NL"/>
        </w:rPr>
      </w:pPr>
      <w:r w:rsidRPr="00012C55">
        <w:rPr>
          <w:b/>
          <w:bCs/>
          <w:lang w:val="nl-NL"/>
        </w:rPr>
        <w:t>Artikel 5 – Meerwerk</w:t>
      </w:r>
      <w:r w:rsidRPr="00012C55">
        <w:rPr>
          <w:lang w:val="nl-NL"/>
        </w:rPr>
        <w:br/>
        <w:t>Meerwerk wordt uitsluitend na overleg uitgevoerd en afzonderlijk gefactureerd.</w:t>
      </w:r>
    </w:p>
    <w:p w14:paraId="02CB03A3" w14:textId="77777777" w:rsidR="00BA6C83" w:rsidRPr="00012C55" w:rsidRDefault="00000000">
      <w:pPr>
        <w:rPr>
          <w:lang w:val="nl-NL"/>
        </w:rPr>
      </w:pPr>
      <w:r w:rsidRPr="00012C55">
        <w:rPr>
          <w:b/>
          <w:bCs/>
          <w:lang w:val="nl-NL"/>
        </w:rPr>
        <w:t>Artikel 6 – Oplevertermijnen</w:t>
      </w:r>
      <w:r w:rsidRPr="00012C55">
        <w:rPr>
          <w:lang w:val="nl-NL"/>
        </w:rPr>
        <w:br/>
        <w:t>Oplevertermijnen zijn indicatief en niet fataal.</w:t>
      </w:r>
    </w:p>
    <w:p w14:paraId="41573704" w14:textId="7D321407" w:rsidR="00BA6C83" w:rsidRPr="00012C55" w:rsidRDefault="00000000">
      <w:pPr>
        <w:rPr>
          <w:lang w:val="nl-NL"/>
        </w:rPr>
      </w:pPr>
      <w:r w:rsidRPr="00012C55">
        <w:rPr>
          <w:b/>
          <w:bCs/>
          <w:lang w:val="nl-NL"/>
        </w:rPr>
        <w:t>Artikel 7 – Garantie en klachten</w:t>
      </w:r>
      <w:r w:rsidRPr="00012C55">
        <w:rPr>
          <w:lang w:val="nl-NL"/>
        </w:rPr>
        <w:br/>
        <w:t xml:space="preserve">Voor </w:t>
      </w:r>
      <w:r w:rsidR="00012C55" w:rsidRPr="00012C55">
        <w:rPr>
          <w:lang w:val="nl-NL"/>
        </w:rPr>
        <w:t>meet technische</w:t>
      </w:r>
      <w:r w:rsidRPr="00012C55">
        <w:rPr>
          <w:lang w:val="nl-NL"/>
        </w:rPr>
        <w:t xml:space="preserve"> werkzaamheden geldt een inspanningsverplichting. Klachten dienen binnen 30 dagen schriftelijk te worden gemeld.</w:t>
      </w:r>
    </w:p>
    <w:p w14:paraId="49E67423" w14:textId="77777777" w:rsidR="00BA6C83" w:rsidRPr="00012C55" w:rsidRDefault="00000000">
      <w:pPr>
        <w:rPr>
          <w:lang w:val="nl-NL"/>
        </w:rPr>
      </w:pPr>
      <w:r w:rsidRPr="00012C55">
        <w:rPr>
          <w:b/>
          <w:bCs/>
          <w:lang w:val="nl-NL"/>
        </w:rPr>
        <w:t>Artikel 8 – Overmacht</w:t>
      </w:r>
      <w:r w:rsidRPr="00012C55">
        <w:rPr>
          <w:lang w:val="nl-NL"/>
        </w:rPr>
        <w:br/>
        <w:t>Bij overmacht worden verplichtingen opgeschort.</w:t>
      </w:r>
    </w:p>
    <w:p w14:paraId="290251D6" w14:textId="77777777" w:rsidR="00BA6C83" w:rsidRPr="00012C55" w:rsidRDefault="00000000">
      <w:pPr>
        <w:rPr>
          <w:lang w:val="nl-NL"/>
        </w:rPr>
      </w:pPr>
      <w:r w:rsidRPr="00012C55">
        <w:rPr>
          <w:b/>
          <w:bCs/>
          <w:lang w:val="nl-NL"/>
        </w:rPr>
        <w:t>Artikel 9 – Aansprakelijkheid</w:t>
      </w:r>
      <w:r w:rsidRPr="00012C55">
        <w:rPr>
          <w:lang w:val="nl-NL"/>
        </w:rPr>
        <w:br/>
        <w:t>Aansprakelijkheid is beperkt tot de verzekerde som of het factuurbedrag, behalve bij opzet of bewuste roekeloosheid.</w:t>
      </w:r>
    </w:p>
    <w:p w14:paraId="590A4087" w14:textId="77777777" w:rsidR="00BA6C83" w:rsidRPr="00012C55" w:rsidRDefault="00000000">
      <w:pPr>
        <w:rPr>
          <w:lang w:val="nl-NL"/>
        </w:rPr>
      </w:pPr>
      <w:r w:rsidRPr="00012C55">
        <w:rPr>
          <w:b/>
          <w:bCs/>
          <w:lang w:val="nl-NL"/>
        </w:rPr>
        <w:t>Artikel 10 – Betaling en rente</w:t>
      </w:r>
      <w:r w:rsidRPr="00012C55">
        <w:rPr>
          <w:lang w:val="nl-NL"/>
        </w:rPr>
        <w:br/>
        <w:t>Betaling binnen 14 dagen. Bij te late betaling geldt wettelijke handelsrente.</w:t>
      </w:r>
    </w:p>
    <w:p w14:paraId="795A6750" w14:textId="77777777" w:rsidR="00BA6C83" w:rsidRPr="00012C55" w:rsidRDefault="00000000">
      <w:pPr>
        <w:rPr>
          <w:lang w:val="nl-NL"/>
        </w:rPr>
      </w:pPr>
      <w:r w:rsidRPr="00012C55">
        <w:rPr>
          <w:b/>
          <w:bCs/>
          <w:lang w:val="nl-NL"/>
        </w:rPr>
        <w:t>Artikel 11 – Incassokosten</w:t>
      </w:r>
      <w:r w:rsidRPr="00012C55">
        <w:rPr>
          <w:lang w:val="nl-NL"/>
        </w:rPr>
        <w:br/>
        <w:t>Consumenten: WIK. Zakelijk: minimaal 15% met €250 minimum.</w:t>
      </w:r>
    </w:p>
    <w:p w14:paraId="1C3A53F6" w14:textId="77777777" w:rsidR="00BA6C83" w:rsidRPr="00012C55" w:rsidRDefault="00000000">
      <w:pPr>
        <w:rPr>
          <w:lang w:val="nl-NL"/>
        </w:rPr>
      </w:pPr>
      <w:r w:rsidRPr="00012C55">
        <w:rPr>
          <w:b/>
          <w:bCs/>
          <w:lang w:val="nl-NL"/>
        </w:rPr>
        <w:lastRenderedPageBreak/>
        <w:t>Artikel 12 – Zekerheidsstelling</w:t>
      </w:r>
      <w:r w:rsidRPr="00012C55">
        <w:rPr>
          <w:lang w:val="nl-NL"/>
        </w:rPr>
        <w:br/>
        <w:t>Vooruitbetaling of zekerheid kan worden verlangd.</w:t>
      </w:r>
    </w:p>
    <w:p w14:paraId="04B3CD6D" w14:textId="77777777" w:rsidR="00BA6C83" w:rsidRPr="00012C55" w:rsidRDefault="00000000">
      <w:pPr>
        <w:rPr>
          <w:lang w:val="nl-NL"/>
        </w:rPr>
      </w:pPr>
      <w:r w:rsidRPr="00012C55">
        <w:rPr>
          <w:b/>
          <w:bCs/>
          <w:lang w:val="nl-NL"/>
        </w:rPr>
        <w:t>Artikel 13 – Relatie- en personeelsbeding</w:t>
      </w:r>
      <w:r w:rsidRPr="00012C55">
        <w:rPr>
          <w:lang w:val="nl-NL"/>
        </w:rPr>
        <w:br/>
        <w:t>Het is verboden personeel van A.M. Lekdetectie B.V. in dienst te nemen tot 6 maanden na einde overeenkomst.</w:t>
      </w:r>
    </w:p>
    <w:p w14:paraId="00DC85E6" w14:textId="77777777" w:rsidR="00BA6C83" w:rsidRPr="00012C55" w:rsidRDefault="00000000">
      <w:pPr>
        <w:rPr>
          <w:lang w:val="nl-NL"/>
        </w:rPr>
      </w:pPr>
      <w:r w:rsidRPr="00012C55">
        <w:rPr>
          <w:b/>
          <w:bCs/>
          <w:lang w:val="nl-NL"/>
        </w:rPr>
        <w:t>Artikel 14 – Eigendomsvoorbehoud</w:t>
      </w:r>
      <w:r w:rsidRPr="00012C55">
        <w:rPr>
          <w:lang w:val="nl-NL"/>
        </w:rPr>
        <w:br/>
        <w:t>Goederen blijven eigendom tot volledige betaling.</w:t>
      </w:r>
    </w:p>
    <w:p w14:paraId="27097DFB" w14:textId="77777777" w:rsidR="00BA6C83" w:rsidRPr="00012C55" w:rsidRDefault="00000000">
      <w:pPr>
        <w:rPr>
          <w:lang w:val="nl-NL"/>
        </w:rPr>
      </w:pPr>
      <w:r w:rsidRPr="00012C55">
        <w:rPr>
          <w:b/>
          <w:bCs/>
          <w:lang w:val="nl-NL"/>
        </w:rPr>
        <w:t>Artikel 15 – Uitvoering</w:t>
      </w:r>
      <w:r w:rsidRPr="00012C55">
        <w:rPr>
          <w:lang w:val="nl-NL"/>
        </w:rPr>
        <w:br/>
        <w:t>Vertraging door opdrachtgever leidt tot termijnverlenging.</w:t>
      </w:r>
    </w:p>
    <w:p w14:paraId="3232CD38" w14:textId="2C6EE542" w:rsidR="00BA6C83" w:rsidRPr="00012C55" w:rsidRDefault="00000000">
      <w:pPr>
        <w:rPr>
          <w:lang w:val="nl-NL"/>
        </w:rPr>
      </w:pPr>
      <w:r w:rsidRPr="00012C55">
        <w:rPr>
          <w:b/>
          <w:bCs/>
          <w:lang w:val="nl-NL"/>
        </w:rPr>
        <w:t>Artikel 16 – Vrijwaring</w:t>
      </w:r>
      <w:r w:rsidRPr="00012C55">
        <w:rPr>
          <w:lang w:val="nl-NL"/>
        </w:rPr>
        <w:br/>
        <w:t xml:space="preserve">De opdrachtgever vrijwaart A.M. Lekdetectie B.V. voor </w:t>
      </w:r>
      <w:r w:rsidR="00012C55" w:rsidRPr="00012C55">
        <w:rPr>
          <w:lang w:val="nl-NL"/>
        </w:rPr>
        <w:t>derden claims</w:t>
      </w:r>
      <w:r w:rsidRPr="00012C55">
        <w:rPr>
          <w:lang w:val="nl-NL"/>
        </w:rPr>
        <w:t>.</w:t>
      </w:r>
    </w:p>
    <w:p w14:paraId="61F7A3D0" w14:textId="77777777" w:rsidR="00BA6C83" w:rsidRPr="00012C55" w:rsidRDefault="00000000">
      <w:pPr>
        <w:rPr>
          <w:lang w:val="nl-NL"/>
        </w:rPr>
      </w:pPr>
      <w:r w:rsidRPr="00012C55">
        <w:rPr>
          <w:b/>
          <w:bCs/>
          <w:lang w:val="nl-NL"/>
        </w:rPr>
        <w:t>Artikel 17 – Toepasselijk recht</w:t>
      </w:r>
      <w:r w:rsidRPr="00012C55">
        <w:rPr>
          <w:lang w:val="nl-NL"/>
        </w:rPr>
        <w:br/>
        <w:t>Nederlands recht is van toepassing. Bevoegde rechter is die van de vestigingsplaats.</w:t>
      </w:r>
    </w:p>
    <w:p w14:paraId="7454492D" w14:textId="4B45E54F" w:rsidR="00BA6C83" w:rsidRPr="00012C55" w:rsidRDefault="00000000">
      <w:pPr>
        <w:rPr>
          <w:lang w:val="nl-NL"/>
        </w:rPr>
      </w:pPr>
      <w:r w:rsidRPr="00012C55">
        <w:rPr>
          <w:b/>
          <w:bCs/>
          <w:lang w:val="nl-NL"/>
        </w:rPr>
        <w:t>Artikel 18 – Privacy en persoonsgegevens (AVG)</w:t>
      </w:r>
      <w:r w:rsidRPr="00012C55">
        <w:rPr>
          <w:lang w:val="nl-NL"/>
        </w:rPr>
        <w:br/>
        <w:t xml:space="preserve">Persoonsgegevens worden verwerkt </w:t>
      </w:r>
      <w:r w:rsidR="00012C55" w:rsidRPr="00012C55">
        <w:rPr>
          <w:lang w:val="nl-NL"/>
        </w:rPr>
        <w:t>in overeenstemming met</w:t>
      </w:r>
      <w:r w:rsidRPr="00012C55">
        <w:rPr>
          <w:lang w:val="nl-NL"/>
        </w:rPr>
        <w:t xml:space="preserve"> de AVG en uitsluitend voor uitvoering van de overeenkomst. Betrokkenen hebben recht op inzage, correctie en verwijdering. Nadere informatie is opgenomen in de privacyverklaring.</w:t>
      </w:r>
    </w:p>
    <w:sectPr w:rsidR="00BA6C83" w:rsidRPr="00012C5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593319761">
    <w:abstractNumId w:val="8"/>
  </w:num>
  <w:num w:numId="2" w16cid:durableId="1263874849">
    <w:abstractNumId w:val="6"/>
  </w:num>
  <w:num w:numId="3" w16cid:durableId="1797604538">
    <w:abstractNumId w:val="5"/>
  </w:num>
  <w:num w:numId="4" w16cid:durableId="767391564">
    <w:abstractNumId w:val="4"/>
  </w:num>
  <w:num w:numId="5" w16cid:durableId="766118844">
    <w:abstractNumId w:val="7"/>
  </w:num>
  <w:num w:numId="6" w16cid:durableId="1698967230">
    <w:abstractNumId w:val="3"/>
  </w:num>
  <w:num w:numId="7" w16cid:durableId="151913843">
    <w:abstractNumId w:val="2"/>
  </w:num>
  <w:num w:numId="8" w16cid:durableId="19479785">
    <w:abstractNumId w:val="1"/>
  </w:num>
  <w:num w:numId="9" w16cid:durableId="57062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C55"/>
    <w:rsid w:val="00034616"/>
    <w:rsid w:val="0006063C"/>
    <w:rsid w:val="0015074B"/>
    <w:rsid w:val="0029639D"/>
    <w:rsid w:val="002C7CB6"/>
    <w:rsid w:val="00326F90"/>
    <w:rsid w:val="00A538F6"/>
    <w:rsid w:val="00AA1D8D"/>
    <w:rsid w:val="00B47730"/>
    <w:rsid w:val="00BA6C8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D2BE1"/>
  <w14:defaultImageDpi w14:val="300"/>
  <w15:docId w15:val="{E6DF6642-2AF2-47BB-B9D2-D01EB738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Ate Siccama</cp:lastModifiedBy>
  <cp:revision>2</cp:revision>
  <dcterms:created xsi:type="dcterms:W3CDTF">2026-04-20T12:42:00Z</dcterms:created>
  <dcterms:modified xsi:type="dcterms:W3CDTF">2026-04-20T12:42:00Z</dcterms:modified>
  <cp:category/>
</cp:coreProperties>
</file>